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spacing w:line="240" w:lineRule="auto" w:after="60"/>
      </w:pPr>
      <w:r>
        <w:rPr>
          <w:color w:val="000000"/>
          <w:sz w:val="42"/>
        </w:rPr>
        <w:t>Paket Brief Juru Bahasa Hukum</w:t>
      </w:r>
      <w:r>
        <w:br/>
      </w:r>
      <w:r>
        <w:rPr>
          <w:color w:val="526575"/>
          <w:sz w:val="28"/>
        </w:rPr>
        <w:t>Legal Interpreter Briefing Pack</w:t>
      </w:r>
    </w:p>
    <w:p>
      <w:pPr>
        <w:keepLines/>
        <w:spacing w:line="240" w:lineRule="auto" w:after="60"/>
      </w:pPr>
      <w:r>
        <w:rPr>
          <w:sz w:val="21"/>
        </w:rPr>
        <w:t>LegalTrans.id | Lembar kerja pilot | Versi 1.0 | 8 Oktober 2026</w:t>
      </w:r>
      <w:r>
        <w:br/>
      </w:r>
      <w:r>
        <w:rPr>
          <w:color w:val="526575"/>
          <w:sz w:val="18"/>
        </w:rPr>
        <w:t>LegalTrans.id | Pilot worksheet | Version 1.0 | 8 October 2026</w:t>
      </w:r>
    </w:p>
    <w:p>
      <w:pPr>
        <w:keepLines/>
        <w:spacing w:line="240" w:lineRule="auto" w:after="60"/>
      </w:pPr>
      <w:r>
        <w:rPr>
          <w:sz w:val="21"/>
        </w:rPr>
        <w:t>Disusun dengan bantuan AI untuk drafting. Periksa kesesuaiannya dengan tujuan penggunaan Anda. Kontak: legaltrans.id/kontak</w:t>
      </w:r>
      <w:r>
        <w:br/>
      </w:r>
      <w:r>
        <w:rPr>
          <w:color w:val="526575"/>
          <w:sz w:val="18"/>
        </w:rPr>
        <w:t>Prepared with AI drafting assistance. Check its suitability for your intended use. Contact: legaltrans.id/kontak</w:t>
      </w:r>
    </w:p>
    <w:p>
      <w:pPr>
        <w:keepLines/>
        <w:spacing w:line="240" w:lineRule="auto" w:after="60"/>
      </w:pPr>
      <w:r>
        <w:rPr>
          <w:sz w:val="21"/>
        </w:rPr>
        <w:t>Gunakan formulir ini untuk menentukan lingkup pertemuan hukum atau bisnis sebelum membagikan materi rahasia. Penyelenggara dan juru bahasa menyepakati penugasan. Pengadilan, notaris, atau lembaga penerima dapat menetapkan persyaratan prosedural tambahan.</w:t>
      </w:r>
      <w:r>
        <w:br/>
      </w:r>
      <w:r>
        <w:rPr>
          <w:color w:val="526575"/>
          <w:sz w:val="18"/>
        </w:rPr>
        <w:t>Use this form to scope a legal or business meeting before sharing confidential material. The organiser and interpreter agree on the assignment. A court, notary or other receiving authority may set additional procedural requirements.</w:t>
      </w:r>
    </w:p>
    <w:tbl>
      <w:tblPr>
        <w:tblStyle w:val="LightShading-Accent1"/>
        <w:tblW w:type="auto" w:w="0"/>
        <w:tblLayout w:type="fixed"/>
        <w:tblLook w:firstColumn="1" w:firstRow="1" w:lastColumn="0" w:lastRow="0" w:noHBand="0" w:noVBand="1" w:val="04A0"/>
      </w:tblPr>
      <w:tblGrid>
        <w:gridCol w:w="4946"/>
        <w:gridCol w:w="4946"/>
      </w:tblGrid>
      <w:tr>
        <w:trPr>
          <w:cantSplit/>
        </w:trPr>
        <w:tc>
          <w:tcPr>
            <w:tcW w:type="dxa" w:w="4946"/>
          </w:tcPr>
          <w:p>
            <w:pPr>
              <w:keepLines/>
              <w:spacing w:line="240" w:lineRule="auto" w:after="60"/>
            </w:pPr>
            <w:r>
              <w:rPr>
                <w:sz w:val="20"/>
              </w:rPr>
              <w:t>Informasi brief</w:t>
            </w:r>
            <w:r>
              <w:br/>
            </w:r>
            <w:r>
              <w:rPr>
                <w:color w:val="526575"/>
                <w:sz w:val="18"/>
              </w:rPr>
              <w:t>Brief field</w:t>
            </w:r>
          </w:p>
        </w:tc>
        <w:tc>
          <w:tcPr>
            <w:tcW w:type="dxa" w:w="4946"/>
          </w:tcPr>
          <w:p>
            <w:pPr>
              <w:keepLines/>
              <w:spacing w:line="240" w:lineRule="auto" w:after="60"/>
            </w:pPr>
            <w:r>
              <w:rPr>
                <w:sz w:val="20"/>
              </w:rPr>
              <w:t>Isi informasi</w:t>
            </w:r>
            <w:r>
              <w:br/>
            </w:r>
            <w:r>
              <w:rPr>
                <w:color w:val="526575"/>
                <w:sz w:val="18"/>
              </w:rPr>
              <w:t>Enter details</w:t>
            </w:r>
          </w:p>
        </w:tc>
      </w:tr>
      <w:tr>
        <w:trPr>
          <w:cantSplit/>
        </w:trPr>
        <w:tc>
          <w:tcPr>
            <w:tcW w:type="dxa" w:w="4946"/>
          </w:tcPr>
          <w:p>
            <w:pPr>
              <w:keepLines/>
              <w:spacing w:line="240" w:lineRule="auto" w:after="60"/>
            </w:pPr>
            <w:r>
              <w:rPr>
                <w:sz w:val="20"/>
              </w:rPr>
              <w:t>Tujuan dan konteks pertemuan</w:t>
            </w:r>
            <w:r>
              <w:br/>
            </w:r>
            <w:r>
              <w:rPr>
                <w:color w:val="526575"/>
                <w:sz w:val="18"/>
              </w:rPr>
              <w:t>Meeting purpose and setting</w:t>
            </w:r>
          </w:p>
        </w:tc>
        <w:tc>
          <w:tcPr>
            <w:tcW w:type="dxa" w:w="4946"/>
          </w:tcPr>
          <w:p>
            <w:pPr>
              <w:keepLines/>
              <w:spacing w:line="240" w:lineRule="auto" w:after="60"/>
            </w:pPr>
            <w:r>
              <w:rPr>
                <w:sz w:val="20"/>
              </w:rPr>
              <w:t>[Negosiasi / penjelasan / wawancara / proses resmi]</w:t>
            </w:r>
            <w:r>
              <w:br/>
            </w:r>
            <w:r>
              <w:rPr>
                <w:color w:val="526575"/>
                <w:sz w:val="18"/>
              </w:rPr>
              <w:t>[Negotiation / explanation / interview / official procedure]</w:t>
            </w:r>
          </w:p>
        </w:tc>
      </w:tr>
      <w:tr>
        <w:trPr>
          <w:cantSplit/>
        </w:trPr>
        <w:tc>
          <w:tcPr>
            <w:tcW w:type="dxa" w:w="4946"/>
          </w:tcPr>
          <w:p>
            <w:pPr>
              <w:keepLines/>
              <w:spacing w:line="240" w:lineRule="auto" w:after="60"/>
            </w:pPr>
            <w:r>
              <w:rPr>
                <w:sz w:val="20"/>
              </w:rPr>
              <w:t>Tanggal waktu dan lokasi</w:t>
            </w:r>
            <w:r>
              <w:br/>
            </w:r>
            <w:r>
              <w:rPr>
                <w:color w:val="526575"/>
                <w:sz w:val="18"/>
              </w:rPr>
              <w:t>Date time and location</w:t>
            </w:r>
          </w:p>
        </w:tc>
        <w:tc>
          <w:tcPr>
            <w:tcW w:type="dxa" w:w="4946"/>
          </w:tcPr>
          <w:p>
            <w:pPr>
              <w:keepLines/>
              <w:spacing w:line="240" w:lineRule="auto" w:after="60"/>
            </w:pPr>
            <w:r>
              <w:rPr>
                <w:sz w:val="20"/>
              </w:rPr>
              <w:t>[Tanggal / mulai dan selesai / zona waktu / tempat atau platform]</w:t>
            </w:r>
            <w:r>
              <w:br/>
            </w:r>
            <w:r>
              <w:rPr>
                <w:color w:val="526575"/>
                <w:sz w:val="18"/>
              </w:rPr>
              <w:t>[Date / start and end / time zone / venue or platform]</w:t>
            </w:r>
          </w:p>
        </w:tc>
      </w:tr>
      <w:tr>
        <w:trPr>
          <w:cantSplit/>
        </w:trPr>
        <w:tc>
          <w:tcPr>
            <w:tcW w:type="dxa" w:w="4946"/>
          </w:tcPr>
          <w:p>
            <w:pPr>
              <w:keepLines/>
              <w:spacing w:line="240" w:lineRule="auto" w:after="60"/>
            </w:pPr>
            <w:r>
              <w:rPr>
                <w:sz w:val="20"/>
              </w:rPr>
              <w:t>Penyelenggara dan kontak teknis</w:t>
            </w:r>
            <w:r>
              <w:br/>
            </w:r>
            <w:r>
              <w:rPr>
                <w:color w:val="526575"/>
                <w:sz w:val="18"/>
              </w:rPr>
              <w:t>Organiser and technical contact</w:t>
            </w:r>
          </w:p>
        </w:tc>
        <w:tc>
          <w:tcPr>
            <w:tcW w:type="dxa" w:w="4946"/>
          </w:tcPr>
          <w:p>
            <w:pPr>
              <w:keepLines/>
              <w:spacing w:line="240" w:lineRule="auto" w:after="60"/>
            </w:pPr>
            <w:r>
              <w:rPr>
                <w:sz w:val="20"/>
              </w:rPr>
              <w:t>[Nama / peran / cara kontak yang disepakati]</w:t>
            </w:r>
            <w:r>
              <w:br/>
            </w:r>
            <w:r>
              <w:rPr>
                <w:color w:val="526575"/>
                <w:sz w:val="18"/>
              </w:rPr>
              <w:t>[Name / role / agreed contact method]</w:t>
            </w:r>
          </w:p>
        </w:tc>
      </w:tr>
      <w:tr>
        <w:trPr>
          <w:cantSplit/>
        </w:trPr>
        <w:tc>
          <w:tcPr>
            <w:tcW w:type="dxa" w:w="4946"/>
          </w:tcPr>
          <w:p>
            <w:pPr>
              <w:keepLines/>
              <w:spacing w:line="240" w:lineRule="auto" w:after="60"/>
            </w:pPr>
            <w:r>
              <w:rPr>
                <w:sz w:val="20"/>
              </w:rPr>
              <w:t>Peserta dan peran</w:t>
            </w:r>
            <w:r>
              <w:br/>
            </w:r>
            <w:r>
              <w:rPr>
                <w:color w:val="526575"/>
                <w:sz w:val="18"/>
              </w:rPr>
              <w:t>Participants and roles</w:t>
            </w:r>
          </w:p>
        </w:tc>
        <w:tc>
          <w:tcPr>
            <w:tcW w:type="dxa" w:w="4946"/>
          </w:tcPr>
          <w:p>
            <w:pPr>
              <w:keepLines/>
              <w:spacing w:line="240" w:lineRule="auto" w:after="60"/>
            </w:pPr>
            <w:r>
              <w:rPr>
                <w:sz w:val="20"/>
              </w:rPr>
              <w:t>[Peran dan jumlah; nama hanya jika diperlukan]</w:t>
            </w:r>
            <w:r>
              <w:br/>
            </w:r>
            <w:r>
              <w:rPr>
                <w:color w:val="526575"/>
                <w:sz w:val="18"/>
              </w:rPr>
              <w:t>[Roles and number; names only where necessary]</w:t>
            </w:r>
          </w:p>
        </w:tc>
      </w:tr>
      <w:tr>
        <w:trPr>
          <w:cantSplit/>
        </w:trPr>
        <w:tc>
          <w:tcPr>
            <w:tcW w:type="dxa" w:w="4946"/>
          </w:tcPr>
          <w:p>
            <w:pPr>
              <w:keepLines/>
              <w:spacing w:line="240" w:lineRule="auto" w:after="60"/>
            </w:pPr>
            <w:r>
              <w:rPr>
                <w:sz w:val="20"/>
              </w:rPr>
              <w:t>Bahasa dan variasi yang relevan</w:t>
            </w:r>
            <w:r>
              <w:br/>
            </w:r>
            <w:r>
              <w:rPr>
                <w:color w:val="526575"/>
                <w:sz w:val="18"/>
              </w:rPr>
              <w:t>Languages and relevant variations</w:t>
            </w:r>
          </w:p>
        </w:tc>
        <w:tc>
          <w:tcPr>
            <w:tcW w:type="dxa" w:w="4946"/>
          </w:tcPr>
          <w:p>
            <w:pPr>
              <w:keepLines/>
              <w:spacing w:line="240" w:lineRule="auto" w:after="60"/>
            </w:pPr>
            <w:r>
              <w:rPr>
                <w:sz w:val="20"/>
              </w:rPr>
              <w:t>[Bahasa setiap peserta / dialek atau aksen]</w:t>
            </w:r>
            <w:r>
              <w:br/>
            </w:r>
            <w:r>
              <w:rPr>
                <w:color w:val="526575"/>
                <w:sz w:val="18"/>
              </w:rPr>
              <w:t>[Language used by each participant / dialect or accent]</w:t>
            </w:r>
          </w:p>
        </w:tc>
      </w:tr>
      <w:tr>
        <w:trPr>
          <w:cantSplit/>
        </w:trPr>
        <w:tc>
          <w:tcPr>
            <w:tcW w:type="dxa" w:w="4946"/>
          </w:tcPr>
          <w:p>
            <w:pPr>
              <w:keepLines/>
              <w:spacing w:line="240" w:lineRule="auto" w:after="60"/>
            </w:pPr>
            <w:r>
              <w:rPr>
                <w:sz w:val="20"/>
              </w:rPr>
              <w:t>Mode dan persiapan</w:t>
            </w:r>
            <w:r>
              <w:br/>
            </w:r>
            <w:r>
              <w:rPr>
                <w:color w:val="526575"/>
                <w:sz w:val="18"/>
              </w:rPr>
              <w:t>Mode and preparation</w:t>
            </w:r>
          </w:p>
        </w:tc>
        <w:tc>
          <w:tcPr>
            <w:tcW w:type="dxa" w:w="4946"/>
          </w:tcPr>
          <w:p>
            <w:pPr>
              <w:keepLines/>
              <w:spacing w:line="240" w:lineRule="auto" w:after="60"/>
            </w:pPr>
            <w:r>
              <w:rPr>
                <w:sz w:val="20"/>
              </w:rPr>
              <w:t>[Konsekutif / simultan / lainnya; konfirmasikan dengan juru bahasa]</w:t>
            </w:r>
            <w:r>
              <w:br/>
            </w:r>
            <w:r>
              <w:rPr>
                <w:color w:val="526575"/>
                <w:sz w:val="18"/>
              </w:rPr>
              <w:t>[Consecutive / simultaneous / other; confirm with interpreter]</w:t>
            </w:r>
          </w:p>
        </w:tc>
      </w:tr>
      <w:tr>
        <w:trPr>
          <w:cantSplit/>
        </w:trPr>
        <w:tc>
          <w:tcPr>
            <w:tcW w:type="dxa" w:w="4946"/>
          </w:tcPr>
          <w:p>
            <w:pPr>
              <w:keepLines/>
              <w:spacing w:line="240" w:lineRule="auto" w:after="60"/>
            </w:pPr>
            <w:r>
              <w:rPr>
                <w:sz w:val="20"/>
              </w:rPr>
              <w:t>Agenda dan hasil yang diharapkan</w:t>
            </w:r>
            <w:r>
              <w:br/>
            </w:r>
            <w:r>
              <w:rPr>
                <w:color w:val="526575"/>
                <w:sz w:val="18"/>
              </w:rPr>
              <w:t>Agenda and desired outcome</w:t>
            </w:r>
          </w:p>
        </w:tc>
        <w:tc>
          <w:tcPr>
            <w:tcW w:type="dxa" w:w="4946"/>
          </w:tcPr>
          <w:p>
            <w:pPr>
              <w:keepLines/>
              <w:spacing w:line="240" w:lineRule="auto" w:after="60"/>
            </w:pPr>
            <w:r>
              <w:rPr>
                <w:sz w:val="20"/>
              </w:rPr>
              <w:t>[Topik dan urutan; bedakan penjurubahasaan dari nasihat hukum]</w:t>
            </w:r>
            <w:r>
              <w:br/>
            </w:r>
            <w:r>
              <w:rPr>
                <w:color w:val="526575"/>
                <w:sz w:val="18"/>
              </w:rPr>
              <w:t>[Topics and sequence; distinguish interpreting from legal advice]</w:t>
            </w:r>
          </w:p>
        </w:tc>
      </w:tr>
      <w:tr>
        <w:trPr>
          <w:cantSplit/>
        </w:trPr>
        <w:tc>
          <w:tcPr>
            <w:tcW w:type="dxa" w:w="4946"/>
          </w:tcPr>
          <w:p>
            <w:pPr>
              <w:keepLines/>
              <w:spacing w:line="240" w:lineRule="auto" w:after="60"/>
            </w:pPr>
            <w:r>
              <w:rPr>
                <w:sz w:val="20"/>
              </w:rPr>
              <w:t>Materi dan versi terkini</w:t>
            </w:r>
            <w:r>
              <w:br/>
            </w:r>
            <w:r>
              <w:rPr>
                <w:color w:val="526575"/>
                <w:sz w:val="18"/>
              </w:rPr>
              <w:t>Materials and current versions</w:t>
            </w:r>
          </w:p>
        </w:tc>
        <w:tc>
          <w:tcPr>
            <w:tcW w:type="dxa" w:w="4946"/>
          </w:tcPr>
          <w:p>
            <w:pPr>
              <w:keepLines/>
              <w:spacing w:line="240" w:lineRule="auto" w:after="60"/>
            </w:pPr>
            <w:r>
              <w:rPr>
                <w:sz w:val="20"/>
              </w:rPr>
              <w:t>[Daftar ID berkas / bagian relevan / izin berbagi]</w:t>
            </w:r>
            <w:r>
              <w:br/>
            </w:r>
            <w:r>
              <w:rPr>
                <w:color w:val="526575"/>
                <w:sz w:val="18"/>
              </w:rPr>
              <w:t>[List file IDs / relevant passages / permission to share]</w:t>
            </w:r>
          </w:p>
        </w:tc>
      </w:tr>
      <w:tr>
        <w:trPr>
          <w:cantSplit/>
        </w:trPr>
        <w:tc>
          <w:tcPr>
            <w:tcW w:type="dxa" w:w="4946"/>
          </w:tcPr>
          <w:p>
            <w:pPr>
              <w:keepLines/>
              <w:spacing w:line="240" w:lineRule="auto" w:after="60"/>
            </w:pPr>
            <w:r>
              <w:rPr>
                <w:sz w:val="20"/>
              </w:rPr>
              <w:t>Kerahasiaan dan perekaman</w:t>
            </w:r>
            <w:r>
              <w:br/>
            </w:r>
            <w:r>
              <w:rPr>
                <w:color w:val="526575"/>
                <w:sz w:val="18"/>
              </w:rPr>
              <w:t>Confidentiality and recording</w:t>
            </w:r>
          </w:p>
        </w:tc>
        <w:tc>
          <w:tcPr>
            <w:tcW w:type="dxa" w:w="4946"/>
          </w:tcPr>
          <w:p>
            <w:pPr>
              <w:keepLines/>
              <w:spacing w:line="240" w:lineRule="auto" w:after="60"/>
            </w:pPr>
            <w:r>
              <w:rPr>
                <w:sz w:val="20"/>
              </w:rPr>
              <w:t>[Akses yang disetujui / NDA jika berlaku / keputusan dan izin perekaman]</w:t>
            </w:r>
            <w:r>
              <w:br/>
            </w:r>
            <w:r>
              <w:rPr>
                <w:color w:val="526575"/>
                <w:sz w:val="18"/>
              </w:rPr>
              <w:t>[Approved access / NDA if applicable / recording decision and permissions]</w:t>
            </w:r>
          </w:p>
        </w:tc>
      </w:tr>
      <w:tr>
        <w:trPr>
          <w:cantSplit/>
        </w:trPr>
        <w:tc>
          <w:tcPr>
            <w:tcW w:type="dxa" w:w="4946"/>
          </w:tcPr>
          <w:p>
            <w:pPr>
              <w:keepLines/>
              <w:spacing w:line="240" w:lineRule="auto" w:after="60"/>
            </w:pPr>
            <w:r>
              <w:rPr>
                <w:sz w:val="20"/>
              </w:rPr>
              <w:t>Instruksi lembaga terkait</w:t>
            </w:r>
            <w:r>
              <w:br/>
            </w:r>
            <w:r>
              <w:rPr>
                <w:color w:val="526575"/>
                <w:sz w:val="18"/>
              </w:rPr>
              <w:t>Authority instructions</w:t>
            </w:r>
          </w:p>
        </w:tc>
        <w:tc>
          <w:tcPr>
            <w:tcW w:type="dxa" w:w="4946"/>
          </w:tcPr>
          <w:p>
            <w:pPr>
              <w:keepLines/>
              <w:spacing w:line="240" w:lineRule="auto" w:after="60"/>
            </w:pPr>
            <w:r>
              <w:rPr>
                <w:sz w:val="20"/>
              </w:rPr>
              <w:t>[Kualifikasi / kehadiran / instruksi prosedural yang disyaratkan]</w:t>
            </w:r>
            <w:r>
              <w:br/>
            </w:r>
            <w:r>
              <w:rPr>
                <w:color w:val="526575"/>
                <w:sz w:val="18"/>
              </w:rPr>
              <w:t>[Required qualifications / attendance / procedural instructions]</w:t>
            </w:r>
          </w:p>
        </w:tc>
      </w:tr>
    </w:tbl>
    <w:p>
      <w:pPr>
        <w:pStyle w:val="Heading1"/>
        <w:keepLines/>
        <w:spacing w:line="240" w:lineRule="auto" w:after="60" w:before="120"/>
      </w:pPr>
      <w:r>
        <w:rPr>
          <w:b/>
          <w:sz w:val="26"/>
        </w:rPr>
        <w:t>Sebelum mengirim brief</w:t>
      </w:r>
      <w:r>
        <w:br/>
      </w:r>
      <w:r>
        <w:rPr>
          <w:color w:val="526575"/>
          <w:sz w:val="18"/>
        </w:rPr>
        <w:t>Before sending the brief</w:t>
      </w:r>
    </w:p>
    <w:p>
      <w:pPr>
        <w:keepLines/>
        <w:spacing w:line="240" w:lineRule="auto" w:after="60"/>
      </w:pPr>
      <w:r>
        <w:rPr>
          <w:sz w:val="21"/>
        </w:rPr>
        <w:t>[ ] Kirim ringkasan yang tidak rahasia terlebih dahulu. Sepakati jalur pengiriman yang aman sebelum mengirim dokumen dengan akses terbatas.</w:t>
      </w:r>
      <w:r>
        <w:br/>
      </w:r>
      <w:r>
        <w:rPr>
          <w:color w:val="526575"/>
          <w:sz w:val="18"/>
        </w:rPr>
        <w:t>[ ] Send a non-confidential outline first. Agree on a secure transfer route before sending restricted documents.</w:t>
      </w:r>
    </w:p>
    <w:p>
      <w:pPr>
        <w:keepLines/>
        <w:spacing w:line="240" w:lineRule="auto" w:after="60"/>
      </w:pPr>
      <w:r>
        <w:rPr>
          <w:sz w:val="21"/>
        </w:rPr>
        <w:t>[ ] Konfirmasikan ketersediaan, kualifikasi sesuai konteks, waktu persiapan, jeda, dan kebutuhan tim.</w:t>
      </w:r>
      <w:r>
        <w:br/>
      </w:r>
      <w:r>
        <w:rPr>
          <w:color w:val="526575"/>
          <w:sz w:val="18"/>
        </w:rPr>
        <w:t>[ ] Confirm availability, qualifications for the setting, preparation time, breaks and whether a team is needed.</w:t>
      </w:r>
    </w:p>
    <w:p>
      <w:r/>
    </w:p>
    <w:p>
      <w:pPr>
        <w:pStyle w:val="Heading1"/>
        <w:keepLines/>
        <w:pageBreakBefore/>
        <w:spacing w:line="240" w:lineRule="auto" w:after="60" w:before="120"/>
      </w:pPr>
      <w:r>
        <w:rPr>
          <w:b/>
          <w:sz w:val="26"/>
        </w:rPr>
        <w:t>Istilah dan pengaturan pertemuan</w:t>
      </w:r>
      <w:r>
        <w:br/>
      </w:r>
      <w:r>
        <w:rPr>
          <w:color w:val="526575"/>
          <w:sz w:val="18"/>
        </w:rPr>
        <w:t>Terminology and meeting arrangements</w:t>
      </w:r>
    </w:p>
    <w:tbl>
      <w:tblPr>
        <w:tblStyle w:val="LightShading-Accent1"/>
        <w:tblW w:type="auto" w:w="0"/>
        <w:tblLayout w:type="fixed"/>
        <w:tblLook w:firstColumn="1" w:firstRow="1" w:lastColumn="0" w:lastRow="0" w:noHBand="0" w:noVBand="1" w:val="04A0"/>
      </w:tblPr>
      <w:tblGrid>
        <w:gridCol w:w="4946"/>
        <w:gridCol w:w="4946"/>
      </w:tblGrid>
      <w:tr>
        <w:trPr>
          <w:cantSplit/>
        </w:trPr>
        <w:tc>
          <w:tcPr>
            <w:tcW w:type="dxa" w:w="4946"/>
          </w:tcPr>
          <w:p>
            <w:pPr>
              <w:keepLines/>
              <w:spacing w:line="240" w:lineRule="auto" w:after="60"/>
            </w:pPr>
            <w:r>
              <w:rPr>
                <w:sz w:val="20"/>
              </w:rPr>
              <w:t>Istilah atau nama</w:t>
            </w:r>
            <w:r>
              <w:br/>
            </w:r>
            <w:r>
              <w:rPr>
                <w:color w:val="526575"/>
                <w:sz w:val="18"/>
              </w:rPr>
              <w:t>Term or name</w:t>
            </w:r>
          </w:p>
        </w:tc>
        <w:tc>
          <w:tcPr>
            <w:tcW w:type="dxa" w:w="4946"/>
          </w:tcPr>
          <w:p>
            <w:pPr>
              <w:keepLines/>
              <w:spacing w:line="240" w:lineRule="auto" w:after="60"/>
            </w:pPr>
            <w:r>
              <w:rPr>
                <w:sz w:val="20"/>
              </w:rPr>
              <w:t>Konteks dan pelafalan atau padanan yang disepakati</w:t>
            </w:r>
            <w:r>
              <w:br/>
            </w:r>
            <w:r>
              <w:rPr>
                <w:color w:val="526575"/>
                <w:sz w:val="18"/>
              </w:rPr>
              <w:t>Context and agreed pronunciation or equivalent</w:t>
            </w:r>
          </w:p>
        </w:tc>
      </w:tr>
      <w:tr>
        <w:trPr>
          <w:cantSplit/>
        </w:trPr>
        <w:tc>
          <w:tcPr>
            <w:tcW w:type="dxa" w:w="4946"/>
          </w:tcPr>
          <w:p>
            <w:pPr>
              <w:keepLines/>
              <w:spacing w:line="240" w:lineRule="auto" w:after="60"/>
            </w:pPr>
            <w:r>
              <w:rPr>
                <w:sz w:val="20"/>
              </w:rPr>
              <w:t>[Isi]</w:t>
            </w:r>
            <w:r>
              <w:br/>
            </w:r>
            <w:r>
              <w:rPr>
                <w:color w:val="526575"/>
                <w:sz w:val="18"/>
              </w:rPr>
              <w:t>[Enter]</w:t>
            </w:r>
          </w:p>
        </w:tc>
        <w:tc>
          <w:tcPr>
            <w:tcW w:type="dxa" w:w="4946"/>
          </w:tcPr>
          <w:p>
            <w:pPr>
              <w:keepLines/>
              <w:spacing w:line="240" w:lineRule="auto" w:after="60"/>
            </w:pPr>
            <w:r>
              <w:rPr>
                <w:sz w:val="20"/>
              </w:rPr>
              <w:t>[Isi konteks / usulan padanan / pertanyaan]</w:t>
            </w:r>
            <w:r>
              <w:br/>
            </w:r>
            <w:r>
              <w:rPr>
                <w:color w:val="526575"/>
                <w:sz w:val="18"/>
              </w:rPr>
              <w:t>[Enter context / proposed equivalent / question]</w:t>
            </w:r>
          </w:p>
        </w:tc>
      </w:tr>
      <w:tr>
        <w:trPr>
          <w:cantSplit/>
        </w:trPr>
        <w:tc>
          <w:tcPr>
            <w:tcW w:type="dxa" w:w="4946"/>
          </w:tcPr>
          <w:p>
            <w:pPr>
              <w:keepLines/>
              <w:spacing w:line="240" w:lineRule="auto" w:after="60"/>
            </w:pPr>
            <w:r>
              <w:rPr>
                <w:sz w:val="20"/>
              </w:rPr>
              <w:t>[Isi]</w:t>
            </w:r>
            <w:r>
              <w:br/>
            </w:r>
            <w:r>
              <w:rPr>
                <w:color w:val="526575"/>
                <w:sz w:val="18"/>
              </w:rPr>
              <w:t>[Enter]</w:t>
            </w:r>
          </w:p>
        </w:tc>
        <w:tc>
          <w:tcPr>
            <w:tcW w:type="dxa" w:w="4946"/>
          </w:tcPr>
          <w:p>
            <w:pPr>
              <w:keepLines/>
              <w:spacing w:line="240" w:lineRule="auto" w:after="60"/>
            </w:pPr>
            <w:r>
              <w:rPr>
                <w:sz w:val="20"/>
              </w:rPr>
              <w:t>[Isi konteks / usulan padanan / pertanyaan]</w:t>
            </w:r>
            <w:r>
              <w:br/>
            </w:r>
            <w:r>
              <w:rPr>
                <w:color w:val="526575"/>
                <w:sz w:val="18"/>
              </w:rPr>
              <w:t>[Enter context / proposed equivalent / question]</w:t>
            </w:r>
          </w:p>
        </w:tc>
      </w:tr>
      <w:tr>
        <w:trPr>
          <w:cantSplit/>
        </w:trPr>
        <w:tc>
          <w:tcPr>
            <w:tcW w:type="dxa" w:w="4946"/>
          </w:tcPr>
          <w:p>
            <w:pPr>
              <w:keepLines/>
              <w:spacing w:line="240" w:lineRule="auto" w:after="60"/>
            </w:pPr>
            <w:r>
              <w:rPr>
                <w:sz w:val="20"/>
              </w:rPr>
              <w:t>[Isi]</w:t>
            </w:r>
            <w:r>
              <w:br/>
            </w:r>
            <w:r>
              <w:rPr>
                <w:color w:val="526575"/>
                <w:sz w:val="18"/>
              </w:rPr>
              <w:t>[Enter]</w:t>
            </w:r>
          </w:p>
        </w:tc>
        <w:tc>
          <w:tcPr>
            <w:tcW w:type="dxa" w:w="4946"/>
          </w:tcPr>
          <w:p>
            <w:pPr>
              <w:keepLines/>
              <w:spacing w:line="240" w:lineRule="auto" w:after="60"/>
            </w:pPr>
            <w:r>
              <w:rPr>
                <w:sz w:val="20"/>
              </w:rPr>
              <w:t>[Isi konteks / usulan padanan / pertanyaan]</w:t>
            </w:r>
            <w:r>
              <w:br/>
            </w:r>
            <w:r>
              <w:rPr>
                <w:color w:val="526575"/>
                <w:sz w:val="18"/>
              </w:rPr>
              <w:t>[Enter context / proposed equivalent / question]</w:t>
            </w:r>
          </w:p>
        </w:tc>
      </w:tr>
      <w:tr>
        <w:trPr>
          <w:cantSplit/>
        </w:trPr>
        <w:tc>
          <w:tcPr>
            <w:tcW w:type="dxa" w:w="4946"/>
          </w:tcPr>
          <w:p>
            <w:pPr>
              <w:keepLines/>
              <w:spacing w:line="240" w:lineRule="auto" w:after="60"/>
            </w:pPr>
            <w:r>
              <w:rPr>
                <w:sz w:val="20"/>
              </w:rPr>
              <w:t>[Isi]</w:t>
            </w:r>
            <w:r>
              <w:br/>
            </w:r>
            <w:r>
              <w:rPr>
                <w:color w:val="526575"/>
                <w:sz w:val="18"/>
              </w:rPr>
              <w:t>[Enter]</w:t>
            </w:r>
          </w:p>
        </w:tc>
        <w:tc>
          <w:tcPr>
            <w:tcW w:type="dxa" w:w="4946"/>
          </w:tcPr>
          <w:p>
            <w:pPr>
              <w:keepLines/>
              <w:spacing w:line="240" w:lineRule="auto" w:after="60"/>
            </w:pPr>
            <w:r>
              <w:rPr>
                <w:sz w:val="20"/>
              </w:rPr>
              <w:t>[Isi konteks / usulan padanan / pertanyaan]</w:t>
            </w:r>
            <w:r>
              <w:br/>
            </w:r>
            <w:r>
              <w:rPr>
                <w:color w:val="526575"/>
                <w:sz w:val="18"/>
              </w:rPr>
              <w:t>[Enter context / proposed equivalent / question]</w:t>
            </w:r>
          </w:p>
        </w:tc>
      </w:tr>
    </w:tbl>
    <w:p>
      <w:pPr>
        <w:pStyle w:val="Heading1"/>
        <w:keepLines/>
        <w:spacing w:line="240" w:lineRule="auto" w:after="60" w:before="120"/>
      </w:pPr>
      <w:r>
        <w:rPr>
          <w:b/>
          <w:sz w:val="26"/>
        </w:rPr>
        <w:t>Persiapan dan pemeriksaan audio</w:t>
      </w:r>
      <w:r>
        <w:br/>
      </w:r>
      <w:r>
        <w:rPr>
          <w:color w:val="526575"/>
          <w:sz w:val="18"/>
        </w:rPr>
        <w:t>Preparation and audio check</w:t>
      </w:r>
    </w:p>
    <w:p>
      <w:pPr>
        <w:keepLines/>
        <w:spacing w:line="240" w:lineRule="auto" w:after="60"/>
      </w:pPr>
      <w:r>
        <w:rPr>
          <w:sz w:val="21"/>
        </w:rPr>
        <w:t>[ ] Agenda dan bahan latar yang diizinkan dibagikan sesuai tenggat yang disepakati.</w:t>
      </w:r>
      <w:r>
        <w:br/>
      </w:r>
      <w:r>
        <w:rPr>
          <w:color w:val="526575"/>
          <w:sz w:val="18"/>
        </w:rPr>
        <w:t>[ ] Agenda and permitted background materials shared by the agreed deadline.</w:t>
      </w:r>
    </w:p>
    <w:p>
      <w:pPr>
        <w:keepLines/>
        <w:spacing w:line="240" w:lineRule="auto" w:after="60"/>
      </w:pPr>
      <w:r>
        <w:rPr>
          <w:sz w:val="21"/>
        </w:rPr>
        <w:t>[ ] Giliran bicara, jeda, dan cara meminta klarifikasi disepakati.</w:t>
      </w:r>
      <w:r>
        <w:br/>
      </w:r>
      <w:r>
        <w:rPr>
          <w:color w:val="526575"/>
          <w:sz w:val="18"/>
        </w:rPr>
        <w:t>[ ] Speaker turns, pauses and how to request clarification agreed.</w:t>
      </w:r>
    </w:p>
    <w:p>
      <w:pPr>
        <w:keepLines/>
        <w:spacing w:line="240" w:lineRule="auto" w:after="60"/>
      </w:pPr>
      <w:r>
        <w:rPr>
          <w:sz w:val="21"/>
        </w:rPr>
        <w:t>[ ] Mikrofon, platform, dan koneksi diuji; kontak teknis ditentukan.</w:t>
      </w:r>
      <w:r>
        <w:br/>
      </w:r>
      <w:r>
        <w:rPr>
          <w:color w:val="526575"/>
          <w:sz w:val="18"/>
        </w:rPr>
        <w:t>[ ] Microphones, platform and connection tested; technical contact identified.</w:t>
      </w:r>
    </w:p>
    <w:p>
      <w:pPr>
        <w:keepLines/>
        <w:spacing w:line="240" w:lineRule="auto" w:after="60"/>
      </w:pPr>
      <w:r>
        <w:rPr>
          <w:sz w:val="21"/>
        </w:rPr>
        <w:t>[ ] Jeda dan pengaturan tim disepakati sesuai durasi dan kompleksitas.</w:t>
      </w:r>
      <w:r>
        <w:br/>
      </w:r>
      <w:r>
        <w:rPr>
          <w:color w:val="526575"/>
          <w:sz w:val="18"/>
        </w:rPr>
        <w:t>[ ] Breaks and team arrangements agreed for the duration and complexity.</w:t>
      </w:r>
    </w:p>
    <w:p>
      <w:pPr>
        <w:keepLines/>
        <w:spacing w:line="240" w:lineRule="auto" w:after="60"/>
      </w:pPr>
      <w:r>
        <w:rPr>
          <w:sz w:val="21"/>
        </w:rPr>
        <w:t>[ ] Perubahan dokumen terakhir disampaikan beserta penanda versi.</w:t>
      </w:r>
      <w:r>
        <w:br/>
      </w:r>
      <w:r>
        <w:rPr>
          <w:color w:val="526575"/>
          <w:sz w:val="18"/>
        </w:rPr>
        <w:t>[ ] Last-minute document changes communicated with version identifiers.</w:t>
      </w:r>
    </w:p>
    <w:p>
      <w:pPr>
        <w:keepLines/>
        <w:spacing w:line="240" w:lineRule="auto" w:after="60"/>
      </w:pPr>
      <w:r>
        <w:rPr>
          <w:sz w:val="21"/>
        </w:rPr>
        <w:t>[ ] Persyaratan prosedur resmi dan izin perekaman dikonfirmasikan oleh penyelenggara.</w:t>
      </w:r>
      <w:r>
        <w:br/>
      </w:r>
      <w:r>
        <w:rPr>
          <w:color w:val="526575"/>
          <w:sz w:val="18"/>
        </w:rPr>
        <w:t>[ ] Any official procedural or recording permissions confirmed by the organiser.</w:t>
      </w:r>
    </w:p>
    <w:p>
      <w:pPr>
        <w:pStyle w:val="Heading1"/>
        <w:keepLines/>
        <w:spacing w:line="240" w:lineRule="auto" w:after="60" w:before="120"/>
      </w:pPr>
      <w:r>
        <w:rPr>
          <w:b/>
          <w:sz w:val="26"/>
        </w:rPr>
        <w:t>Batas peran dan konfirmasi</w:t>
      </w:r>
      <w:r>
        <w:br/>
      </w:r>
      <w:r>
        <w:rPr>
          <w:color w:val="526575"/>
          <w:sz w:val="18"/>
        </w:rPr>
        <w:t>Boundaries and completion</w:t>
      </w:r>
    </w:p>
    <w:p>
      <w:pPr>
        <w:keepLines/>
        <w:spacing w:line="240" w:lineRule="auto" w:after="60"/>
      </w:pPr>
      <w:r>
        <w:rPr>
          <w:sz w:val="21"/>
        </w:rPr>
        <w:t>Juru bahasa membantu komunikasi dan menandai kendala mendengar atau memahami. Nasihat hukum, keputusan prosedural, dan keputusan para pihak tetap menjadi tanggung jawab profesional dan peserta terkait. Pemesanan juru bahasa saja tidak otomatis memenuhi suatu prosedur resmi.</w:t>
      </w:r>
      <w:r>
        <w:br/>
      </w:r>
      <w:r>
        <w:rPr>
          <w:color w:val="526575"/>
          <w:sz w:val="18"/>
        </w:rPr>
        <w:t>The interpreter supports communication and flags hearing or comprehension problems. Legal advice, procedural decisions and the parties’ decisions remain with the responsible professionals and participants. Do not assume that booking an interpreter alone satisfies an official procedure.</w:t>
      </w:r>
    </w:p>
    <w:p>
      <w:pPr>
        <w:keepLines/>
        <w:spacing w:line="240" w:lineRule="auto" w:after="60"/>
      </w:pPr>
      <w:r>
        <w:rPr>
          <w:sz w:val="21"/>
        </w:rPr>
        <w:t>Lingkup yang disepakati: ______________________________________________</w:t>
      </w:r>
      <w:r>
        <w:br/>
      </w:r>
      <w:r>
        <w:rPr>
          <w:color w:val="526575"/>
          <w:sz w:val="18"/>
        </w:rPr>
        <w:t>Agreed scope: ______________________________________________________</w:t>
      </w:r>
    </w:p>
    <w:p>
      <w:pPr>
        <w:keepLines/>
        <w:spacing w:line="240" w:lineRule="auto" w:after="60"/>
      </w:pPr>
      <w:r>
        <w:rPr>
          <w:sz w:val="21"/>
        </w:rPr>
        <w:t>Konfirmasi penyelenggara: _________________   Tanggal: __________________</w:t>
      </w:r>
      <w:r>
        <w:br/>
      </w:r>
      <w:r>
        <w:rPr>
          <w:color w:val="526575"/>
          <w:sz w:val="18"/>
        </w:rPr>
        <w:t>Organiser confirmation: __________________   Date: __________________</w:t>
      </w:r>
    </w:p>
    <w:p>
      <w:pPr>
        <w:keepLines/>
        <w:spacing w:line="240" w:lineRule="auto" w:after="60"/>
      </w:pPr>
      <w:r>
        <w:rPr>
          <w:sz w:val="21"/>
        </w:rPr>
        <w:t>Konfirmasi juru bahasa: ___________________   Tanggal: __________________</w:t>
      </w:r>
      <w:r>
        <w:br/>
      </w:r>
      <w:r>
        <w:rPr>
          <w:color w:val="526575"/>
          <w:sz w:val="18"/>
        </w:rPr>
        <w:t>Interpreter confirmation: _________________   Date: __________________</w:t>
      </w:r>
    </w:p>
    <w:p>
      <w:pPr>
        <w:pStyle w:val="Heading2"/>
        <w:keepLines/>
        <w:spacing w:line="240" w:lineRule="auto" w:after="60" w:before="120"/>
      </w:pPr>
      <w:r>
        <w:rPr>
          <w:b/>
          <w:sz w:val="26"/>
        </w:rPr>
        <w:t>Contoh brief</w:t>
      </w:r>
      <w:r>
        <w:br/>
      </w:r>
      <w:r>
        <w:rPr>
          <w:color w:val="526575"/>
          <w:sz w:val="18"/>
        </w:rPr>
        <w:t>Illustrative brief</w:t>
      </w:r>
    </w:p>
    <w:p>
      <w:pPr>
        <w:keepLines/>
        <w:spacing w:line="240" w:lineRule="auto" w:after="60"/>
      </w:pPr>
      <w:r>
        <w:rPr>
          <w:sz w:val="21"/>
        </w:rPr>
        <w:t>Diskusi daring Indonesia–Inggris mengenai tiga usulan perubahan kontrak dengan enam peserta. Materi mencantumkan draf terkini dan klausul yang dipilih. Penyelenggara menentukan kontak teknis dan menyepakati giliran bicara dengan juru bahasa. Contoh ini fiktif.</w:t>
      </w:r>
      <w:r>
        <w:br/>
      </w:r>
      <w:r>
        <w:rPr>
          <w:color w:val="526575"/>
          <w:sz w:val="18"/>
        </w:rPr>
        <w:t>Remote Indonesia–English discussion of three proposed contract changes with six participants. Materials list the current draft and selected clauses. The organiser identifies a technical contact and agrees speaking turns with the interpreter. This is a fictional example.</w:t>
      </w:r>
    </w:p>
    <w:p>
      <w:pPr>
        <w:keepLines/>
        <w:spacing w:line="240" w:lineRule="auto" w:after="60"/>
      </w:pPr>
      <w:r>
        <w:rPr>
          <w:sz w:val="21"/>
        </w:rPr>
        <w:t>Rujukan profesi: Interpreting Getting It Right, tersedia di perpustakaan FIT. Lembar ini merupakan alat bantu persiapan yang disusun sendiri, bukan pernyataan tentang hukum acara Indonesia.</w:t>
      </w:r>
      <w:r>
        <w:br/>
      </w:r>
      <w:r>
        <w:rPr>
          <w:color w:val="526575"/>
          <w:sz w:val="18"/>
        </w:rPr>
        <w:t>Professional background: Interpreting Getting It Right, available from the FIT library. This worksheet is an original preparation aid, not a statement of Indonesian procedural law.</w:t>
      </w:r>
    </w:p>
    <w:p>
      <w:pPr>
        <w:keepLines/>
        <w:spacing w:line="240" w:lineRule="auto" w:after="60"/>
      </w:pPr>
      <w:r>
        <w:rPr>
          <w:sz w:val="21"/>
        </w:rPr>
        <w:t>Rujukan: https://library.fit-ift.org/public/Resources/Documents/GIR_I_EN.pdf</w:t>
      </w:r>
      <w:r>
        <w:br/>
      </w:r>
      <w:r>
        <w:rPr>
          <w:color w:val="526575"/>
          <w:sz w:val="18"/>
        </w:rPr>
        <w:t>Reference: https://library.fit-ift.org/public/Resources/Documents/GIR_I_EN.pdf</w:t>
      </w:r>
    </w:p>
    <w:sectPr w:rsidR="00FC693F" w:rsidRPr="0006063C" w:rsidSect="00034616">
      <w:footerReference w:type="default" r:id="rId9"/>
      <w:pgSz w:w="11909" w:h="16834"/>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LegalTrans.id  •  Bilingual Indonesia English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0"/>
      <w:outlineLvl w:val="0"/>
    </w:pPr>
    <w:rPr>
      <w:rFonts w:asciiTheme="majorHAnsi" w:eastAsiaTheme="majorEastAsia" w:hAnsiTheme="majorHAnsi" w:cstheme="majorBidi" w:ascii="Calibri" w:hAnsi="Calibri"/>
      <w:b/>
      <w:bCs/>
      <w:color w:val="172A3A"/>
      <w:sz w:val="30"/>
      <w:szCs w:val="28"/>
    </w:rPr>
  </w:style>
  <w:style w:type="paragraph" w:styleId="Heading2">
    <w:name w:val="heading 2"/>
    <w:basedOn w:val="Normal"/>
    <w:next w:val="Normal"/>
    <w:link w:val="Heading2Char"/>
    <w:uiPriority w:val="9"/>
    <w:unhideWhenUsed/>
    <w:qFormat/>
    <w:rsid w:val="00FC693F"/>
    <w:pPr>
      <w:keepNext/>
      <w:keepLines/>
      <w:spacing w:before="180" w:after="0"/>
      <w:outlineLvl w:val="1"/>
    </w:pPr>
    <w:rPr>
      <w:rFonts w:asciiTheme="majorHAnsi" w:eastAsiaTheme="majorEastAsia" w:hAnsiTheme="majorHAnsi" w:cstheme="majorBidi" w:ascii="Calibri" w:hAnsi="Calibri"/>
      <w:b/>
      <w:bCs/>
      <w:color w:val="172A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180"/>
      <w:contextualSpacing/>
    </w:pPr>
    <w:rPr>
      <w:rFonts w:asciiTheme="majorHAnsi" w:eastAsiaTheme="majorEastAsia" w:hAnsiTheme="majorHAnsi" w:cstheme="majorBidi" w:ascii="Calibri" w:hAnsi="Calibri"/>
      <w:color w:val="172A3A"/>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